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B1" w:rsidRPr="003D31B1" w:rsidRDefault="003D31B1" w:rsidP="003D31B1">
      <w:pPr>
        <w:shd w:val="clear" w:color="auto" w:fill="FFFFFF"/>
        <w:spacing w:before="150" w:after="150" w:line="420" w:lineRule="atLeast"/>
        <w:outlineLvl w:val="1"/>
        <w:rPr>
          <w:rFonts w:ascii="Arial" w:eastAsia="Times New Roman" w:hAnsi="Arial" w:cs="Arial"/>
          <w:color w:val="6F9F3F"/>
          <w:sz w:val="36"/>
          <w:szCs w:val="36"/>
        </w:rPr>
      </w:pPr>
      <w:bookmarkStart w:id="0" w:name="_GoBack"/>
      <w:bookmarkEnd w:id="0"/>
      <w:r w:rsidRPr="003D31B1">
        <w:rPr>
          <w:rFonts w:ascii="Arial" w:eastAsia="Times New Roman" w:hAnsi="Arial" w:cs="Arial"/>
          <w:color w:val="6F9F3F"/>
          <w:sz w:val="36"/>
          <w:szCs w:val="36"/>
        </w:rPr>
        <w:t>Updates to the SANE Educational Guidelines</w:t>
      </w:r>
    </w:p>
    <w:p w:rsidR="003D31B1" w:rsidRPr="003D31B1" w:rsidRDefault="003D31B1" w:rsidP="003D31B1">
      <w:pPr>
        <w:shd w:val="clear" w:color="auto" w:fill="FFFFFF"/>
        <w:spacing w:after="0" w:line="330" w:lineRule="atLeast"/>
        <w:rPr>
          <w:rFonts w:ascii="Arial" w:eastAsia="Times New Roman" w:hAnsi="Arial" w:cs="Arial"/>
          <w:color w:val="333333"/>
          <w:sz w:val="21"/>
          <w:szCs w:val="21"/>
        </w:rPr>
      </w:pPr>
      <w:r w:rsidRPr="003D31B1">
        <w:rPr>
          <w:rFonts w:ascii="Arial" w:eastAsia="Times New Roman" w:hAnsi="Arial" w:cs="Arial"/>
          <w:color w:val="333333"/>
          <w:sz w:val="21"/>
          <w:szCs w:val="21"/>
        </w:rPr>
        <w:t>•    Theoretical Framework (content unchanged) has moved to the beginning of the document</w:t>
      </w:r>
      <w:r w:rsidRPr="003D31B1">
        <w:rPr>
          <w:rFonts w:ascii="Arial" w:eastAsia="Times New Roman" w:hAnsi="Arial" w:cs="Arial"/>
          <w:color w:val="333333"/>
          <w:sz w:val="21"/>
          <w:szCs w:val="21"/>
        </w:rPr>
        <w:br/>
        <w:t>•    Instructional Methodologies contains a paragraph clarifying what constitutes didactic and what</w:t>
      </w:r>
      <w:r w:rsidRPr="003D31B1">
        <w:rPr>
          <w:rFonts w:ascii="Arial" w:eastAsia="Times New Roman" w:hAnsi="Arial" w:cs="Arial"/>
          <w:color w:val="333333"/>
          <w:sz w:val="21"/>
          <w:szCs w:val="21"/>
        </w:rPr>
        <w:br/>
        <w:t>     constitutes clinical instruction:</w:t>
      </w:r>
      <w:r w:rsidRPr="003D31B1">
        <w:rPr>
          <w:rFonts w:ascii="Arial" w:eastAsia="Times New Roman" w:hAnsi="Arial" w:cs="Arial"/>
          <w:color w:val="333333"/>
          <w:sz w:val="21"/>
          <w:szCs w:val="21"/>
        </w:rPr>
        <w:br/>
      </w:r>
      <w:r w:rsidRPr="003D31B1">
        <w:rPr>
          <w:rFonts w:ascii="Arial" w:eastAsia="Times New Roman" w:hAnsi="Arial" w:cs="Arial"/>
          <w:i/>
          <w:iCs/>
          <w:color w:val="FF6600"/>
          <w:sz w:val="21"/>
        </w:rPr>
        <w:t>Key to developing SANE training based on these guidelines is the course planner’s understanding that didactic training involves lecture and textbook instruction regarding the specific content areas rather than demonstration or laboratory study.  Demonstration and simulation based learning is a critical component to training the SANE as well, but should be utilized for the clinical course expectations rather than the didactic.</w:t>
      </w:r>
    </w:p>
    <w:p w:rsidR="003D31B1" w:rsidRPr="003D31B1" w:rsidRDefault="003D31B1" w:rsidP="003D31B1">
      <w:pPr>
        <w:shd w:val="clear" w:color="auto" w:fill="FFFFFF"/>
        <w:spacing w:after="0" w:line="330" w:lineRule="atLeast"/>
        <w:rPr>
          <w:rFonts w:ascii="Arial" w:eastAsia="Times New Roman" w:hAnsi="Arial" w:cs="Arial"/>
          <w:color w:val="333333"/>
          <w:sz w:val="21"/>
          <w:szCs w:val="21"/>
        </w:rPr>
      </w:pPr>
      <w:r w:rsidRPr="003D31B1">
        <w:rPr>
          <w:rFonts w:ascii="Arial" w:eastAsia="Times New Roman" w:hAnsi="Arial" w:cs="Arial"/>
          <w:i/>
          <w:iCs/>
          <w:color w:val="FF6600"/>
          <w:sz w:val="21"/>
        </w:rPr>
        <w:t> </w:t>
      </w:r>
      <w:r w:rsidRPr="003D31B1">
        <w:rPr>
          <w:rFonts w:ascii="Arial" w:eastAsia="Times New Roman" w:hAnsi="Arial" w:cs="Arial"/>
          <w:color w:val="333333"/>
          <w:sz w:val="21"/>
          <w:szCs w:val="21"/>
        </w:rPr>
        <w:br/>
      </w:r>
      <w:r w:rsidRPr="003D31B1">
        <w:rPr>
          <w:rFonts w:ascii="Arial" w:eastAsia="Times New Roman" w:hAnsi="Arial" w:cs="Arial"/>
          <w:color w:val="000000"/>
          <w:sz w:val="21"/>
          <w:szCs w:val="21"/>
        </w:rPr>
        <w:t>•    Instructional Methodologies,  Simulation section contains a sentence clarifying the use of simulation:</w:t>
      </w:r>
      <w:r w:rsidRPr="003D31B1">
        <w:rPr>
          <w:rFonts w:ascii="Arial" w:eastAsia="Times New Roman" w:hAnsi="Arial" w:cs="Arial"/>
          <w:i/>
          <w:iCs/>
          <w:color w:val="FF6600"/>
          <w:sz w:val="21"/>
          <w:szCs w:val="21"/>
        </w:rPr>
        <w:br/>
      </w:r>
      <w:r w:rsidRPr="003D31B1">
        <w:rPr>
          <w:rFonts w:ascii="Arial" w:eastAsia="Times New Roman" w:hAnsi="Arial" w:cs="Arial"/>
          <w:i/>
          <w:iCs/>
          <w:color w:val="FF6600"/>
          <w:sz w:val="21"/>
        </w:rPr>
        <w:t>The use of simulation to teach and evaluate skills associated with conducting the medical-forensic sexual assault examination may be incorporated into the curriculum, but may not replace the expected hours of didactic content.</w:t>
      </w:r>
    </w:p>
    <w:p w:rsidR="003D31B1" w:rsidRPr="003D31B1" w:rsidRDefault="003D31B1" w:rsidP="003D31B1">
      <w:pPr>
        <w:shd w:val="clear" w:color="auto" w:fill="FFFFFF"/>
        <w:spacing w:after="0" w:line="330" w:lineRule="atLeast"/>
        <w:rPr>
          <w:rFonts w:ascii="Arial" w:eastAsia="Times New Roman" w:hAnsi="Arial" w:cs="Arial"/>
          <w:color w:val="333333"/>
          <w:sz w:val="21"/>
          <w:szCs w:val="21"/>
        </w:rPr>
      </w:pPr>
      <w:r w:rsidRPr="003D31B1">
        <w:rPr>
          <w:rFonts w:ascii="Arial" w:eastAsia="Times New Roman" w:hAnsi="Arial" w:cs="Arial"/>
          <w:i/>
          <w:iCs/>
          <w:color w:val="FF6600"/>
          <w:sz w:val="21"/>
        </w:rPr>
        <w:t> </w:t>
      </w:r>
    </w:p>
    <w:p w:rsidR="003D31B1" w:rsidRPr="003D31B1" w:rsidRDefault="003D31B1" w:rsidP="003D31B1">
      <w:pPr>
        <w:shd w:val="clear" w:color="auto" w:fill="FFFFFF"/>
        <w:spacing w:after="0" w:line="330" w:lineRule="atLeast"/>
        <w:rPr>
          <w:rFonts w:ascii="Arial" w:eastAsia="Times New Roman" w:hAnsi="Arial" w:cs="Arial"/>
          <w:color w:val="333333"/>
          <w:sz w:val="21"/>
          <w:szCs w:val="21"/>
        </w:rPr>
      </w:pPr>
      <w:r w:rsidRPr="003D31B1">
        <w:rPr>
          <w:rFonts w:ascii="Arial" w:eastAsia="Times New Roman" w:hAnsi="Arial" w:cs="Arial"/>
          <w:color w:val="000000"/>
          <w:sz w:val="21"/>
          <w:szCs w:val="21"/>
        </w:rPr>
        <w:t>•    Coursework Content contains a clarifying paragraph:</w:t>
      </w:r>
      <w:r w:rsidRPr="003D31B1">
        <w:rPr>
          <w:rFonts w:ascii="Arial" w:eastAsia="Times New Roman" w:hAnsi="Arial" w:cs="Arial"/>
          <w:i/>
          <w:iCs/>
          <w:color w:val="FF6600"/>
          <w:sz w:val="21"/>
          <w:szCs w:val="21"/>
        </w:rPr>
        <w:br/>
      </w:r>
      <w:r w:rsidRPr="003D31B1">
        <w:rPr>
          <w:rFonts w:ascii="Arial" w:eastAsia="Times New Roman" w:hAnsi="Arial" w:cs="Arial"/>
          <w:i/>
          <w:iCs/>
          <w:color w:val="FF6600"/>
          <w:sz w:val="21"/>
        </w:rPr>
        <w:t>The coursework requirements identified in this section provide the minimum course hours necessary to meet the SANE training eligibility requirements to apply to sit for the Commission for Forensic Nursing Certification examinations. Programs should be designed as a basic course for those new to the field of forensic nursing and the specialized area of caring for sexual assault patients in the role of the Sexual Assault Nurse Examiner.  Regardless of didactic course delivery method (live, online, etc.) or type (Adolescent/Adult, Pediatric/Adolescent or Combined Pediatric/Adolescent/Adult), the course in its entirety should be considered one educational offering and not take longer than 15 weeks to complete. Participants should receive a completion certificate granting the number of contact hours in nursing outlined below or the academic equivalent.  Additionally, it should be clear on the final course certificate that the participant completed a Sexual Assault Nurse Examiner or Sexual Assault Forensic Examiner program and the appropriate population addressed (Adolescent/Adult, Pediatric/Adolescent or Combined Pediatric/Adolescent/Adult).  Detailed components of the didactic and clinical training can be found later in this document. </w:t>
      </w:r>
      <w:r w:rsidRPr="003D31B1">
        <w:rPr>
          <w:rFonts w:ascii="Arial" w:eastAsia="Times New Roman" w:hAnsi="Arial" w:cs="Arial"/>
          <w:i/>
          <w:iCs/>
          <w:color w:val="FF6600"/>
          <w:sz w:val="21"/>
          <w:szCs w:val="21"/>
        </w:rPr>
        <w:br/>
      </w:r>
      <w:r w:rsidRPr="003D31B1">
        <w:rPr>
          <w:rFonts w:ascii="Arial" w:eastAsia="Times New Roman" w:hAnsi="Arial" w:cs="Arial"/>
          <w:i/>
          <w:iCs/>
          <w:color w:val="FF6600"/>
          <w:sz w:val="21"/>
          <w:szCs w:val="21"/>
        </w:rPr>
        <w:br/>
      </w:r>
      <w:r w:rsidRPr="003D31B1">
        <w:rPr>
          <w:rFonts w:ascii="Arial" w:eastAsia="Times New Roman" w:hAnsi="Arial" w:cs="Arial"/>
          <w:color w:val="333333"/>
          <w:sz w:val="21"/>
          <w:szCs w:val="21"/>
        </w:rPr>
        <w:t>•    SETTING UP YOUR COURSE (AT A GLANCE) has been added, outlining in table format the basics</w:t>
      </w:r>
      <w:r w:rsidRPr="003D31B1">
        <w:rPr>
          <w:rFonts w:ascii="Arial" w:eastAsia="Times New Roman" w:hAnsi="Arial" w:cs="Arial"/>
          <w:color w:val="333333"/>
          <w:sz w:val="21"/>
          <w:szCs w:val="21"/>
        </w:rPr>
        <w:br/>
        <w:t>     of each type of course (see page 10).</w:t>
      </w:r>
      <w:r w:rsidRPr="003D31B1">
        <w:rPr>
          <w:rFonts w:ascii="Arial" w:eastAsia="Times New Roman" w:hAnsi="Arial" w:cs="Arial"/>
          <w:color w:val="333333"/>
          <w:sz w:val="21"/>
          <w:szCs w:val="21"/>
        </w:rPr>
        <w:br/>
        <w:t>•    Didactic Components sections—if the objectives used language suggestive of simulation as a teaching</w:t>
      </w:r>
      <w:r w:rsidRPr="003D31B1">
        <w:rPr>
          <w:rFonts w:ascii="Arial" w:eastAsia="Times New Roman" w:hAnsi="Arial" w:cs="Arial"/>
          <w:color w:val="333333"/>
          <w:sz w:val="21"/>
        </w:rPr>
        <w:t> </w:t>
      </w:r>
      <w:r w:rsidRPr="003D31B1">
        <w:rPr>
          <w:rFonts w:ascii="Arial" w:eastAsia="Times New Roman" w:hAnsi="Arial" w:cs="Arial"/>
          <w:color w:val="333333"/>
          <w:sz w:val="21"/>
          <w:szCs w:val="21"/>
        </w:rPr>
        <w:br/>
        <w:t>     method, they were replaced with appropriate didactic equivalents (e.g., “Demonstrate” changed to</w:t>
      </w:r>
      <w:r w:rsidRPr="003D31B1">
        <w:rPr>
          <w:rFonts w:ascii="Arial" w:eastAsia="Times New Roman" w:hAnsi="Arial" w:cs="Arial"/>
          <w:color w:val="333333"/>
          <w:sz w:val="21"/>
        </w:rPr>
        <w:t> </w:t>
      </w:r>
      <w:r w:rsidRPr="003D31B1">
        <w:rPr>
          <w:rFonts w:ascii="Arial" w:eastAsia="Times New Roman" w:hAnsi="Arial" w:cs="Arial"/>
          <w:color w:val="333333"/>
          <w:sz w:val="21"/>
          <w:szCs w:val="21"/>
        </w:rPr>
        <w:br/>
      </w:r>
      <w:r w:rsidRPr="003D31B1">
        <w:rPr>
          <w:rFonts w:ascii="Arial" w:eastAsia="Times New Roman" w:hAnsi="Arial" w:cs="Arial"/>
          <w:color w:val="333333"/>
          <w:sz w:val="21"/>
          <w:szCs w:val="21"/>
        </w:rPr>
        <w:lastRenderedPageBreak/>
        <w:t>     “Comprehend”) or were moved to the Clinical Components section.</w:t>
      </w:r>
      <w:r w:rsidRPr="003D31B1">
        <w:rPr>
          <w:rFonts w:ascii="Arial" w:eastAsia="Times New Roman" w:hAnsi="Arial" w:cs="Arial"/>
          <w:color w:val="333333"/>
          <w:sz w:val="21"/>
          <w:szCs w:val="21"/>
        </w:rPr>
        <w:br/>
        <w:t>•    Clinical Components sections—were changed to reflect hands-on practice.</w:t>
      </w:r>
      <w:r w:rsidRPr="003D31B1">
        <w:rPr>
          <w:rFonts w:ascii="Arial" w:eastAsia="Times New Roman" w:hAnsi="Arial" w:cs="Arial"/>
          <w:color w:val="333333"/>
          <w:sz w:val="21"/>
          <w:szCs w:val="21"/>
        </w:rPr>
        <w:br/>
        <w:t>•    References—were updated (e.g.,</w:t>
      </w:r>
      <w:r w:rsidRPr="003D31B1">
        <w:rPr>
          <w:rFonts w:ascii="Arial" w:eastAsia="Times New Roman" w:hAnsi="Arial" w:cs="Arial"/>
          <w:color w:val="333333"/>
          <w:sz w:val="21"/>
        </w:rPr>
        <w:t> </w:t>
      </w:r>
      <w:r w:rsidRPr="003D31B1">
        <w:rPr>
          <w:rFonts w:ascii="Arial" w:eastAsia="Times New Roman" w:hAnsi="Arial" w:cs="Arial"/>
          <w:i/>
          <w:iCs/>
          <w:color w:val="333333"/>
          <w:sz w:val="21"/>
        </w:rPr>
        <w:t>2015 CDC STD Treatment Guidelines</w:t>
      </w:r>
      <w:r w:rsidRPr="003D31B1">
        <w:rPr>
          <w:rFonts w:ascii="Arial" w:eastAsia="Times New Roman" w:hAnsi="Arial" w:cs="Arial"/>
          <w:color w:val="333333"/>
          <w:sz w:val="21"/>
          <w:szCs w:val="21"/>
        </w:rPr>
        <w:t>).</w:t>
      </w:r>
    </w:p>
    <w:p w:rsidR="00C54893" w:rsidRPr="003D31B1" w:rsidRDefault="00C54893" w:rsidP="003D31B1">
      <w:pPr>
        <w:pStyle w:val="NoSpacing"/>
        <w:rPr>
          <w:rFonts w:ascii="Times New Roman" w:hAnsi="Times New Roman" w:cs="Times New Roman"/>
          <w:sz w:val="24"/>
          <w:szCs w:val="24"/>
        </w:rPr>
      </w:pPr>
    </w:p>
    <w:sectPr w:rsidR="00C54893" w:rsidRPr="003D31B1" w:rsidSect="00C54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B1"/>
    <w:rsid w:val="00240903"/>
    <w:rsid w:val="003814DC"/>
    <w:rsid w:val="003D31B1"/>
    <w:rsid w:val="004F2AD3"/>
    <w:rsid w:val="00C54893"/>
    <w:rsid w:val="00C95D76"/>
    <w:rsid w:val="00F1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3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1B1"/>
    <w:pPr>
      <w:spacing w:after="0" w:line="240" w:lineRule="auto"/>
    </w:pPr>
  </w:style>
  <w:style w:type="character" w:customStyle="1" w:styleId="Heading2Char">
    <w:name w:val="Heading 2 Char"/>
    <w:basedOn w:val="DefaultParagraphFont"/>
    <w:link w:val="Heading2"/>
    <w:uiPriority w:val="9"/>
    <w:rsid w:val="003D31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31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31B1"/>
    <w:rPr>
      <w:i/>
      <w:iCs/>
    </w:rPr>
  </w:style>
  <w:style w:type="character" w:customStyle="1" w:styleId="apple-converted-space">
    <w:name w:val="apple-converted-space"/>
    <w:basedOn w:val="DefaultParagraphFont"/>
    <w:rsid w:val="003D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3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1B1"/>
    <w:pPr>
      <w:spacing w:after="0" w:line="240" w:lineRule="auto"/>
    </w:pPr>
  </w:style>
  <w:style w:type="character" w:customStyle="1" w:styleId="Heading2Char">
    <w:name w:val="Heading 2 Char"/>
    <w:basedOn w:val="DefaultParagraphFont"/>
    <w:link w:val="Heading2"/>
    <w:uiPriority w:val="9"/>
    <w:rsid w:val="003D31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31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31B1"/>
    <w:rPr>
      <w:i/>
      <w:iCs/>
    </w:rPr>
  </w:style>
  <w:style w:type="character" w:customStyle="1" w:styleId="apple-converted-space">
    <w:name w:val="apple-converted-space"/>
    <w:basedOn w:val="DefaultParagraphFont"/>
    <w:rsid w:val="003D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IU Health</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bbachmeier</dc:creator>
  <cp:lastModifiedBy>Riwitis, Cheryl L.</cp:lastModifiedBy>
  <cp:revision>2</cp:revision>
  <dcterms:created xsi:type="dcterms:W3CDTF">2015-08-12T13:56:00Z</dcterms:created>
  <dcterms:modified xsi:type="dcterms:W3CDTF">2015-08-12T13:56:00Z</dcterms:modified>
</cp:coreProperties>
</file>